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0569" w14:textId="77777777" w:rsidR="007C092E" w:rsidRPr="007C092E" w:rsidRDefault="007C092E" w:rsidP="007C092E">
      <w:pPr>
        <w:rPr>
          <w:lang w:val="de-DE"/>
        </w:rPr>
      </w:pPr>
      <w:r w:rsidRPr="007C092E">
        <w:rPr>
          <w:b/>
          <w:bCs/>
          <w:lang w:val="de-DE"/>
        </w:rPr>
        <w:t>CareerCraft</w:t>
      </w:r>
    </w:p>
    <w:p w14:paraId="4A6DAD53" w14:textId="77777777" w:rsidR="007C092E" w:rsidRPr="007C092E" w:rsidRDefault="007C092E" w:rsidP="007C092E">
      <w:pPr>
        <w:rPr>
          <w:lang w:val="de-DE"/>
        </w:rPr>
      </w:pPr>
      <w:r w:rsidRPr="007C092E">
        <w:rPr>
          <w:lang w:val="de-DE"/>
        </w:rPr>
        <w:t>CareerCraft ermöglicht Schüler*innen praktische Einblicke in die Welt der Handwerksberufe. In realistischen Szenarien oder Rollenspielen setzen sie ihre eigenen Fähigkeiten ein, probieren Tätigkeiten aus und reflektieren, ob das Handwerk zu ihnen passen könnte.</w:t>
      </w:r>
    </w:p>
    <w:p w14:paraId="63244647" w14:textId="77777777" w:rsidR="007C092E" w:rsidRDefault="007C092E" w:rsidP="007C092E">
      <w:pPr>
        <w:rPr>
          <w:b/>
          <w:bCs/>
          <w:lang w:val="de-DE"/>
        </w:rPr>
      </w:pPr>
    </w:p>
    <w:p w14:paraId="1521F688" w14:textId="4C2A5F92" w:rsidR="007C092E" w:rsidRPr="004918CE" w:rsidRDefault="007C092E" w:rsidP="007C092E">
      <w:pPr>
        <w:rPr>
          <w:b/>
          <w:bCs/>
          <w:sz w:val="24"/>
          <w:szCs w:val="24"/>
          <w:lang w:val="de-DE"/>
        </w:rPr>
      </w:pPr>
      <w:r w:rsidRPr="004918CE">
        <w:rPr>
          <w:b/>
          <w:bCs/>
          <w:sz w:val="24"/>
          <w:szCs w:val="24"/>
          <w:lang w:val="de-DE"/>
        </w:rPr>
        <w:t>Tipps &amp; Tricks</w:t>
      </w:r>
      <w:r w:rsidRPr="007C092E">
        <w:rPr>
          <w:b/>
          <w:bCs/>
          <w:sz w:val="24"/>
          <w:szCs w:val="24"/>
          <w:lang w:val="de-DE"/>
        </w:rPr>
        <w:t xml:space="preserve"> für Lehrkräfte</w:t>
      </w:r>
    </w:p>
    <w:p w14:paraId="44325CCF" w14:textId="7E11F968"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Handwerk wertschätzen: Erklären Sie, warum Handwerksberufe wichtig sind und welche Vielfalt es gibt.</w:t>
      </w:r>
    </w:p>
    <w:p w14:paraId="5B1F3BE7" w14:textId="6A38268B"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Selbstreflexion anregen: Lassen Sie die Schüler*innen überlegen, wo sie gerne praktisch arbeiten und welche Fähigkeiten sie schon mitbringen.</w:t>
      </w:r>
    </w:p>
    <w:p w14:paraId="5849F5E4" w14:textId="34B21310"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Erwartungen klären: Jede*r formuliert, was er/sie im RealityCheck herausfinden möchte.</w:t>
      </w:r>
    </w:p>
    <w:p w14:paraId="286B1807" w14:textId="7C3E8F3B"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Sicherheitsregeln beachten: Weisen Sie auf Kleidung, Sicherheit und Verhalten hin.</w:t>
      </w:r>
    </w:p>
    <w:p w14:paraId="2F85831C" w14:textId="0FEDCFD7"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Checklisten nutzen: Geben Sie kurze Leitfragen an die Hand („Welche Tätigkeiten will ich ausprobieren?“).</w:t>
      </w:r>
    </w:p>
    <w:p w14:paraId="30039659" w14:textId="7A058E77"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Aktiv begleiten: Motivieren Sie die Gruppen und helfen Sie beim Einstieg in die praktischen Aufgaben.</w:t>
      </w:r>
    </w:p>
    <w:p w14:paraId="14ABB19F" w14:textId="67B518AD"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Beobachten und Rückmelden: Achten Sie auf Stärken, Teamarbeit und Interessen der Schüler*innen.</w:t>
      </w:r>
    </w:p>
    <w:p w14:paraId="19C9D9B6" w14:textId="7F06F2AA"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Pausen einbauen: Planen Sie kurze Zwischenstopps, um Eindrücke festzuhalten.</w:t>
      </w:r>
    </w:p>
    <w:p w14:paraId="6FB1D063" w14:textId="110CE5AD"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Reflexion ermöglichen: Arbeiten Sie mit Reflexionsbögen, Gruppenarbeit und Diskussionen im Nachgang.</w:t>
      </w:r>
    </w:p>
    <w:p w14:paraId="13946BCA" w14:textId="50122BA5" w:rsidR="004918CE" w:rsidRPr="004918CE" w:rsidRDefault="004918CE" w:rsidP="004918CE">
      <w:pPr>
        <w:pStyle w:val="Listenabsatz"/>
        <w:numPr>
          <w:ilvl w:val="0"/>
          <w:numId w:val="17"/>
        </w:numPr>
        <w:spacing w:line="360" w:lineRule="auto"/>
        <w:ind w:left="714" w:hanging="357"/>
        <w:contextualSpacing w:val="0"/>
        <w:rPr>
          <w:sz w:val="24"/>
          <w:szCs w:val="24"/>
          <w:lang w:val="de-DE"/>
        </w:rPr>
      </w:pPr>
      <w:r w:rsidRPr="004918CE">
        <w:rPr>
          <w:sz w:val="24"/>
          <w:szCs w:val="24"/>
          <w:lang w:val="de-DE"/>
        </w:rPr>
        <w:t>BO-Unterricht verknüpfen: Nutzen Sie die Ergebnisse für Bewerbungen, Portfolios oder die weitere Berufsorientierung.</w:t>
      </w:r>
    </w:p>
    <w:p w14:paraId="49B9F88B" w14:textId="77777777" w:rsidR="004918CE" w:rsidRPr="007C092E" w:rsidRDefault="004918CE" w:rsidP="007C092E">
      <w:pPr>
        <w:rPr>
          <w:b/>
          <w:bCs/>
          <w:lang w:val="de-DE"/>
        </w:rPr>
      </w:pPr>
    </w:p>
    <w:sectPr w:rsidR="004918CE" w:rsidRPr="007C092E"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013B" w14:textId="77777777" w:rsidR="00D12C10" w:rsidRDefault="00D12C10" w:rsidP="008F1B1F">
      <w:pPr>
        <w:spacing w:after="0" w:line="240" w:lineRule="auto"/>
      </w:pPr>
      <w:r>
        <w:separator/>
      </w:r>
    </w:p>
  </w:endnote>
  <w:endnote w:type="continuationSeparator" w:id="0">
    <w:p w14:paraId="19EEEE1B" w14:textId="77777777" w:rsidR="00D12C10" w:rsidRDefault="00D12C10"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ee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C42C47C" w:rsidR="007742A3" w:rsidRDefault="003D669C">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35F462B9" wp14:editId="015490BD">
              <wp:simplePos x="0" y="0"/>
              <wp:positionH relativeFrom="column">
                <wp:posOffset>1898374</wp:posOffset>
              </wp:positionH>
              <wp:positionV relativeFrom="paragraph">
                <wp:posOffset>-73963</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7B7C240D" w14:textId="77777777" w:rsidR="003D669C" w:rsidRDefault="003D669C" w:rsidP="003D669C">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6480068C" w14:textId="77777777" w:rsidR="003D669C" w:rsidRDefault="003D669C" w:rsidP="003D669C">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462B9" id="_x0000_t202" coordsize="21600,21600" o:spt="202" path="m,l,21600r21600,l21600,xe">
              <v:stroke joinstyle="miter"/>
              <v:path gradientshapeok="t" o:connecttype="rect"/>
            </v:shapetype>
            <v:shape id="Textfeld 3" o:spid="_x0000_s1026" type="#_x0000_t202" style="position:absolute;left:0;text-align:left;margin-left:149.5pt;margin-top:-5.8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">
              <v:textbox>
                <w:txbxContent>
                  <w:p w14:paraId="7B7C240D" w14:textId="77777777" w:rsidR="003D669C" w:rsidRDefault="003D669C" w:rsidP="003D669C">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6480068C" w14:textId="77777777" w:rsidR="003D669C" w:rsidRDefault="003D669C" w:rsidP="003D669C">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CAA4F6"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8FC1" w14:textId="77777777" w:rsidR="00D12C10" w:rsidRDefault="00D12C10" w:rsidP="008F1B1F">
      <w:pPr>
        <w:spacing w:after="0" w:line="240" w:lineRule="auto"/>
      </w:pPr>
      <w:r>
        <w:separator/>
      </w:r>
    </w:p>
  </w:footnote>
  <w:footnote w:type="continuationSeparator" w:id="0">
    <w:p w14:paraId="18DE7346" w14:textId="77777777" w:rsidR="00D12C10" w:rsidRDefault="00D12C10"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6"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0"/>
  </w:num>
  <w:num w:numId="2" w16cid:durableId="671034597">
    <w:abstractNumId w:val="11"/>
  </w:num>
  <w:num w:numId="3" w16cid:durableId="1763064709">
    <w:abstractNumId w:val="7"/>
  </w:num>
  <w:num w:numId="4" w16cid:durableId="1831486017">
    <w:abstractNumId w:val="12"/>
  </w:num>
  <w:num w:numId="5" w16cid:durableId="1670133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9"/>
  </w:num>
  <w:num w:numId="7" w16cid:durableId="1763646662">
    <w:abstractNumId w:val="10"/>
  </w:num>
  <w:num w:numId="8" w16cid:durableId="1110011454">
    <w:abstractNumId w:val="3"/>
  </w:num>
  <w:num w:numId="9" w16cid:durableId="362096732">
    <w:abstractNumId w:val="4"/>
  </w:num>
  <w:num w:numId="10" w16cid:durableId="141504178">
    <w:abstractNumId w:val="8"/>
  </w:num>
  <w:num w:numId="11" w16cid:durableId="1231844494">
    <w:abstractNumId w:val="1"/>
  </w:num>
  <w:num w:numId="12" w16cid:durableId="430396074">
    <w:abstractNumId w:val="5"/>
  </w:num>
  <w:num w:numId="13" w16cid:durableId="428041753">
    <w:abstractNumId w:val="16"/>
  </w:num>
  <w:num w:numId="14" w16cid:durableId="1332291547">
    <w:abstractNumId w:val="6"/>
  </w:num>
  <w:num w:numId="15" w16cid:durableId="1318416399">
    <w:abstractNumId w:val="14"/>
  </w:num>
  <w:num w:numId="16" w16cid:durableId="1931617131">
    <w:abstractNumId w:val="13"/>
  </w:num>
  <w:num w:numId="17" w16cid:durableId="353070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50F3C"/>
    <w:rsid w:val="00062230"/>
    <w:rsid w:val="000821D4"/>
    <w:rsid w:val="00086668"/>
    <w:rsid w:val="000940D1"/>
    <w:rsid w:val="0009423A"/>
    <w:rsid w:val="000A31CE"/>
    <w:rsid w:val="000D6009"/>
    <w:rsid w:val="000E10DA"/>
    <w:rsid w:val="000E757D"/>
    <w:rsid w:val="00101BEA"/>
    <w:rsid w:val="00112A01"/>
    <w:rsid w:val="001161F3"/>
    <w:rsid w:val="00116F51"/>
    <w:rsid w:val="00127E9C"/>
    <w:rsid w:val="00132C9C"/>
    <w:rsid w:val="001603B7"/>
    <w:rsid w:val="00161D3B"/>
    <w:rsid w:val="0016504A"/>
    <w:rsid w:val="00180206"/>
    <w:rsid w:val="00181530"/>
    <w:rsid w:val="0018427E"/>
    <w:rsid w:val="00185C5C"/>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E29F2"/>
    <w:rsid w:val="0030389B"/>
    <w:rsid w:val="003B1B0F"/>
    <w:rsid w:val="003B35B4"/>
    <w:rsid w:val="003B5F05"/>
    <w:rsid w:val="003C375A"/>
    <w:rsid w:val="003C38A6"/>
    <w:rsid w:val="003D2DD6"/>
    <w:rsid w:val="003D669C"/>
    <w:rsid w:val="003F74EF"/>
    <w:rsid w:val="0040056A"/>
    <w:rsid w:val="00406DD8"/>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84993"/>
    <w:rsid w:val="006904A7"/>
    <w:rsid w:val="006B5381"/>
    <w:rsid w:val="006B6303"/>
    <w:rsid w:val="006C0D34"/>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7478"/>
    <w:rsid w:val="008B184D"/>
    <w:rsid w:val="008C204E"/>
    <w:rsid w:val="008E41FC"/>
    <w:rsid w:val="008F1B1F"/>
    <w:rsid w:val="009004B4"/>
    <w:rsid w:val="00905DD9"/>
    <w:rsid w:val="00920279"/>
    <w:rsid w:val="00927D4F"/>
    <w:rsid w:val="0093626F"/>
    <w:rsid w:val="0094130A"/>
    <w:rsid w:val="00956F72"/>
    <w:rsid w:val="00960CE5"/>
    <w:rsid w:val="009626F3"/>
    <w:rsid w:val="00963D4E"/>
    <w:rsid w:val="00976D46"/>
    <w:rsid w:val="00993051"/>
    <w:rsid w:val="009B4AEA"/>
    <w:rsid w:val="009C0073"/>
    <w:rsid w:val="009C1C96"/>
    <w:rsid w:val="009E4CC9"/>
    <w:rsid w:val="00A064FB"/>
    <w:rsid w:val="00A13E61"/>
    <w:rsid w:val="00A305BE"/>
    <w:rsid w:val="00A33AEC"/>
    <w:rsid w:val="00A46F8A"/>
    <w:rsid w:val="00A504EF"/>
    <w:rsid w:val="00A51454"/>
    <w:rsid w:val="00A520C4"/>
    <w:rsid w:val="00A73812"/>
    <w:rsid w:val="00A8080B"/>
    <w:rsid w:val="00A86BD1"/>
    <w:rsid w:val="00A9181C"/>
    <w:rsid w:val="00A96D71"/>
    <w:rsid w:val="00AA0066"/>
    <w:rsid w:val="00AA4B89"/>
    <w:rsid w:val="00AA5880"/>
    <w:rsid w:val="00AB61F4"/>
    <w:rsid w:val="00AC35B4"/>
    <w:rsid w:val="00AC411E"/>
    <w:rsid w:val="00AC415E"/>
    <w:rsid w:val="00AC5FF2"/>
    <w:rsid w:val="00AD0AB1"/>
    <w:rsid w:val="00AD1F8E"/>
    <w:rsid w:val="00AF09AD"/>
    <w:rsid w:val="00AF18C4"/>
    <w:rsid w:val="00B03082"/>
    <w:rsid w:val="00B045C2"/>
    <w:rsid w:val="00B12B0C"/>
    <w:rsid w:val="00B14B7C"/>
    <w:rsid w:val="00B21339"/>
    <w:rsid w:val="00B65316"/>
    <w:rsid w:val="00B671DA"/>
    <w:rsid w:val="00B82B9F"/>
    <w:rsid w:val="00B8657F"/>
    <w:rsid w:val="00B90DEC"/>
    <w:rsid w:val="00B97C78"/>
    <w:rsid w:val="00BA63F7"/>
    <w:rsid w:val="00BA7211"/>
    <w:rsid w:val="00BB2EDD"/>
    <w:rsid w:val="00BC3E22"/>
    <w:rsid w:val="00BC796F"/>
    <w:rsid w:val="00BE05CC"/>
    <w:rsid w:val="00BF275C"/>
    <w:rsid w:val="00BF55B6"/>
    <w:rsid w:val="00C04EAA"/>
    <w:rsid w:val="00C05142"/>
    <w:rsid w:val="00C22851"/>
    <w:rsid w:val="00C23A13"/>
    <w:rsid w:val="00C266D7"/>
    <w:rsid w:val="00C31E8D"/>
    <w:rsid w:val="00C80D04"/>
    <w:rsid w:val="00C93D60"/>
    <w:rsid w:val="00CA0FEA"/>
    <w:rsid w:val="00CA22CE"/>
    <w:rsid w:val="00CC701D"/>
    <w:rsid w:val="00CE0092"/>
    <w:rsid w:val="00CE1522"/>
    <w:rsid w:val="00CE7AD2"/>
    <w:rsid w:val="00CF036F"/>
    <w:rsid w:val="00D037FA"/>
    <w:rsid w:val="00D046DB"/>
    <w:rsid w:val="00D07F75"/>
    <w:rsid w:val="00D12C10"/>
    <w:rsid w:val="00D2457A"/>
    <w:rsid w:val="00D463EF"/>
    <w:rsid w:val="00D9012A"/>
    <w:rsid w:val="00D95407"/>
    <w:rsid w:val="00D9735E"/>
    <w:rsid w:val="00D977A4"/>
    <w:rsid w:val="00DC04C4"/>
    <w:rsid w:val="00DC6E6E"/>
    <w:rsid w:val="00DF0318"/>
    <w:rsid w:val="00DF55DC"/>
    <w:rsid w:val="00E10D84"/>
    <w:rsid w:val="00E122BE"/>
    <w:rsid w:val="00E163C3"/>
    <w:rsid w:val="00E23CB5"/>
    <w:rsid w:val="00E26536"/>
    <w:rsid w:val="00E4036B"/>
    <w:rsid w:val="00E410C9"/>
    <w:rsid w:val="00E4624C"/>
    <w:rsid w:val="00E469FE"/>
    <w:rsid w:val="00E52DE4"/>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B258E"/>
    <w:rsid w:val="00FC20A3"/>
    <w:rsid w:val="00FC6F2A"/>
    <w:rsid w:val="00FD0CFE"/>
    <w:rsid w:val="00FD44D8"/>
    <w:rsid w:val="00FD51AD"/>
    <w:rsid w:val="00FD6493"/>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STVG Office</cp:lastModifiedBy>
  <cp:revision>5</cp:revision>
  <cp:lastPrinted>2023-09-20T08:50:00Z</cp:lastPrinted>
  <dcterms:created xsi:type="dcterms:W3CDTF">2025-09-21T12:51:00Z</dcterms:created>
  <dcterms:modified xsi:type="dcterms:W3CDTF">2025-09-22T11:28:00Z</dcterms:modified>
</cp:coreProperties>
</file>